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4899" w14:textId="01EADED2" w:rsidR="00773E30" w:rsidRPr="00D53598" w:rsidRDefault="000F700A" w:rsidP="00773E30">
      <w:pPr>
        <w:jc w:val="both"/>
        <w:rPr>
          <w:b/>
        </w:rPr>
      </w:pPr>
      <w:r>
        <w:rPr>
          <w:b/>
        </w:rPr>
        <w:t xml:space="preserve">TYTUŁ: OPRACOWANIE </w:t>
      </w:r>
      <w:r w:rsidR="00D53598" w:rsidRPr="00D53598">
        <w:rPr>
          <w:b/>
        </w:rPr>
        <w:t>NARZĘDZI DO POMIARU ODDZIAŁYWANI</w:t>
      </w:r>
      <w:r w:rsidR="00066DF2">
        <w:rPr>
          <w:b/>
        </w:rPr>
        <w:t>A</w:t>
      </w:r>
      <w:r w:rsidR="00D53598" w:rsidRPr="00D53598">
        <w:rPr>
          <w:b/>
        </w:rPr>
        <w:t xml:space="preserve"> SPOŁECZNEGO</w:t>
      </w:r>
      <w:r w:rsidR="00773E30" w:rsidRPr="00D53598">
        <w:rPr>
          <w:b/>
        </w:rPr>
        <w:tab/>
      </w:r>
    </w:p>
    <w:p w14:paraId="2B41CFA7" w14:textId="4363C3C7" w:rsidR="00773E30" w:rsidRDefault="00773E30" w:rsidP="00773E30">
      <w:pPr>
        <w:jc w:val="both"/>
      </w:pPr>
      <w:r>
        <w:t xml:space="preserve">Celem zamówienia jest </w:t>
      </w:r>
      <w:r w:rsidR="00F822C8">
        <w:t xml:space="preserve">opracowanie dotyczące  </w:t>
      </w:r>
      <w:r>
        <w:t xml:space="preserve">przygotowania do wdrożenia koncepcji dotyczącej mechanizmu systemowego wykorzystania metodologii badania </w:t>
      </w:r>
      <w:r w:rsidR="00C36E7F">
        <w:t>oddziaływania społecznego</w:t>
      </w:r>
      <w:r>
        <w:t xml:space="preserve"> przedsięwzięć społecznych i interwencji publicznych jako kryterium przyznawania środków publicznych. </w:t>
      </w:r>
    </w:p>
    <w:p w14:paraId="16C80ABE" w14:textId="59ABE3F1" w:rsidR="00D53598" w:rsidRDefault="00D53598" w:rsidP="00773E30">
      <w:pPr>
        <w:jc w:val="both"/>
      </w:pPr>
      <w:r>
        <w:t>Poprzez społeczną wartość dodaną rozumie się wszelkiego typu oddziaływanie o charakterze społecznym różnych przedsięwzięć</w:t>
      </w:r>
      <w:r w:rsidR="000F700A">
        <w:t>/projektów</w:t>
      </w:r>
      <w:r>
        <w:t xml:space="preserve"> czy </w:t>
      </w:r>
      <w:r w:rsidR="000F700A">
        <w:t xml:space="preserve">całych </w:t>
      </w:r>
      <w:r>
        <w:t>polityk</w:t>
      </w:r>
      <w:r w:rsidR="000F700A">
        <w:t xml:space="preserve"> lub programów</w:t>
      </w:r>
      <w:r>
        <w:t>.</w:t>
      </w:r>
    </w:p>
    <w:p w14:paraId="078BD2F9" w14:textId="6591276C" w:rsidR="00661B92" w:rsidRDefault="00661B92" w:rsidP="00773E30">
      <w:pPr>
        <w:jc w:val="both"/>
      </w:pPr>
      <w:r>
        <w:t xml:space="preserve">Zamówienie składa się z dwóch, realizowanych po sobie częściach. </w:t>
      </w:r>
    </w:p>
    <w:p w14:paraId="1350E308" w14:textId="3EBC466B" w:rsidR="00773E30" w:rsidRDefault="00F822C8" w:rsidP="00773E30">
      <w:pPr>
        <w:jc w:val="both"/>
      </w:pPr>
      <w:r>
        <w:t>Zakres opracowan</w:t>
      </w:r>
      <w:r w:rsidR="00623380">
        <w:t>ia</w:t>
      </w:r>
      <w:r>
        <w:t xml:space="preserve"> obejmuje: </w:t>
      </w:r>
      <w:r w:rsidR="00773E30">
        <w:t>:</w:t>
      </w:r>
    </w:p>
    <w:p w14:paraId="212272BD" w14:textId="20AE63FF" w:rsidR="00773E30" w:rsidRPr="000F700A" w:rsidRDefault="000F700A" w:rsidP="00773E30">
      <w:pPr>
        <w:jc w:val="both"/>
        <w:rPr>
          <w:b/>
        </w:rPr>
      </w:pPr>
      <w:r w:rsidRPr="000F700A">
        <w:rPr>
          <w:b/>
        </w:rPr>
        <w:t>Część 1</w:t>
      </w:r>
      <w:r w:rsidR="00773E30" w:rsidRPr="000F700A">
        <w:rPr>
          <w:b/>
        </w:rPr>
        <w:t xml:space="preserve">. SYSTEMATYCZNY PRZEGLĄD </w:t>
      </w:r>
      <w:r w:rsidR="00D53598" w:rsidRPr="000F700A">
        <w:rPr>
          <w:b/>
        </w:rPr>
        <w:t xml:space="preserve">LITERATURY </w:t>
      </w:r>
      <w:r w:rsidR="00773E30" w:rsidRPr="000F700A">
        <w:rPr>
          <w:b/>
        </w:rPr>
        <w:t>POD KĄTEM SPOSOBÓW MIERZENIA</w:t>
      </w:r>
      <w:r w:rsidR="00EA2959" w:rsidRPr="000F700A">
        <w:rPr>
          <w:b/>
        </w:rPr>
        <w:t xml:space="preserve"> </w:t>
      </w:r>
      <w:r w:rsidR="00AA46B3" w:rsidRPr="000F700A">
        <w:rPr>
          <w:b/>
        </w:rPr>
        <w:t>ODDZIAŁYWANIA SPOŁECZNEGO</w:t>
      </w:r>
      <w:r w:rsidR="00773E30" w:rsidRPr="000F700A">
        <w:rPr>
          <w:b/>
        </w:rPr>
        <w:t>:</w:t>
      </w:r>
    </w:p>
    <w:p w14:paraId="4198856A" w14:textId="266967EF" w:rsidR="00773E30" w:rsidRDefault="00623380" w:rsidP="00773E30">
      <w:pPr>
        <w:pStyle w:val="Akapitzlist"/>
        <w:numPr>
          <w:ilvl w:val="0"/>
          <w:numId w:val="2"/>
        </w:numPr>
        <w:jc w:val="both"/>
      </w:pPr>
      <w:r>
        <w:t xml:space="preserve">I. </w:t>
      </w:r>
      <w:r w:rsidR="00773E30">
        <w:t>systematyczny przegląd literatury krajowej w zakresie sposobów mierzenia oddziaływania społecznego</w:t>
      </w:r>
      <w:r>
        <w:t xml:space="preserve">, </w:t>
      </w:r>
      <w:r w:rsidR="00AA46B3">
        <w:t>w tym społecznej wartości dodanej</w:t>
      </w:r>
      <w:r w:rsidR="00773E30">
        <w:t xml:space="preserve"> w stosunku do:</w:t>
      </w:r>
    </w:p>
    <w:p w14:paraId="13431BA9" w14:textId="34C4FF30" w:rsidR="00773E30" w:rsidRDefault="00773E30" w:rsidP="00773E30">
      <w:pPr>
        <w:jc w:val="both"/>
      </w:pPr>
      <w:r>
        <w:t>-</w:t>
      </w:r>
      <w:r>
        <w:tab/>
        <w:t xml:space="preserve">podmiotów ekonomii społecznej, </w:t>
      </w:r>
    </w:p>
    <w:p w14:paraId="1088E84E" w14:textId="4CA37B17" w:rsidR="00773E30" w:rsidRDefault="00773E30" w:rsidP="00EA2959">
      <w:pPr>
        <w:ind w:left="705" w:hanging="705"/>
        <w:jc w:val="both"/>
      </w:pPr>
      <w:r>
        <w:t>-</w:t>
      </w:r>
      <w:r>
        <w:tab/>
        <w:t>przedsięwzięć społecznych</w:t>
      </w:r>
      <w:r w:rsidR="00AA46B3">
        <w:t xml:space="preserve"> – rozum</w:t>
      </w:r>
      <w:r w:rsidR="00E636F5">
        <w:t>ia</w:t>
      </w:r>
      <w:r w:rsidR="00AA46B3">
        <w:t xml:space="preserve">nych jako działanie lub sekwencja powiązanych ze sobą działań podejmowanych w określonym czasie np. w formie projektu </w:t>
      </w:r>
      <w:r>
        <w:t xml:space="preserve">, </w:t>
      </w:r>
    </w:p>
    <w:p w14:paraId="6F44BDDE" w14:textId="7F6F7374" w:rsidR="00773E30" w:rsidRDefault="00773E30" w:rsidP="00EA2959">
      <w:pPr>
        <w:ind w:left="705" w:hanging="705"/>
        <w:jc w:val="both"/>
      </w:pPr>
      <w:r>
        <w:t>-</w:t>
      </w:r>
      <w:r>
        <w:tab/>
        <w:t>interwencji publicznych - polityki publicznej rozumianej jako zespół powiązanych ze sobą działań</w:t>
      </w:r>
      <w:r w:rsidR="00623380">
        <w:t>,</w:t>
      </w:r>
    </w:p>
    <w:p w14:paraId="3B34DD11" w14:textId="71AD1782" w:rsidR="00773E30" w:rsidRDefault="00773E30" w:rsidP="00773E30">
      <w:pPr>
        <w:jc w:val="both"/>
      </w:pPr>
      <w:r>
        <w:t xml:space="preserve">pod kątem możliwości </w:t>
      </w:r>
      <w:r w:rsidR="006634FC">
        <w:t xml:space="preserve">ich </w:t>
      </w:r>
      <w:r>
        <w:t>wykorzystania jako kryteri</w:t>
      </w:r>
      <w:r w:rsidR="006634FC">
        <w:t>ów</w:t>
      </w:r>
      <w:r>
        <w:t xml:space="preserve"> przyznawania środków publicznych lub służących indeksacji polityk publicznych/interwencji publicznych. </w:t>
      </w:r>
    </w:p>
    <w:p w14:paraId="7611B2E8" w14:textId="798468EF" w:rsidR="00773E30" w:rsidRDefault="00773E30" w:rsidP="00773E30">
      <w:pPr>
        <w:jc w:val="both"/>
      </w:pPr>
      <w:r>
        <w:t>Schemat i sposób dokonania przeglądu będzie podlegać akceptacji Zamawiającego, który zastrzega sobie możliwość wniesienia poprawek. Schemat i sposób dokonania przeglądu powinien być złożony do Zamawiającego w terminie 3 tygodni kalendarzowych od podpisania umowy. Zamawiający ma 5 dni roboczych na wniesieniu uwag, które Wykonawca zobowiązany jest nanieść w terminie kolejnych 5 dni roboczych.</w:t>
      </w:r>
    </w:p>
    <w:p w14:paraId="20097767" w14:textId="71B2CF4F" w:rsidR="00773E30" w:rsidRDefault="00773E30" w:rsidP="00773E30">
      <w:pPr>
        <w:jc w:val="both"/>
      </w:pPr>
      <w:bookmarkStart w:id="0" w:name="_Hlk479597300"/>
      <w:r>
        <w:t xml:space="preserve"> </w:t>
      </w:r>
      <w:r w:rsidR="00623380">
        <w:t xml:space="preserve">Opracowanie I </w:t>
      </w:r>
      <w:r>
        <w:t>powinn</w:t>
      </w:r>
      <w:r w:rsidR="00623380">
        <w:t>o</w:t>
      </w:r>
      <w:r>
        <w:t xml:space="preserve"> mieć formę raportu zawierającego:</w:t>
      </w:r>
    </w:p>
    <w:p w14:paraId="26366D7B" w14:textId="77777777" w:rsidR="00773E30" w:rsidRDefault="00773E30" w:rsidP="00773E30">
      <w:pPr>
        <w:jc w:val="both"/>
      </w:pPr>
      <w:r>
        <w:t>-</w:t>
      </w:r>
      <w:r>
        <w:tab/>
        <w:t>streszczenie</w:t>
      </w:r>
      <w:r>
        <w:tab/>
      </w:r>
    </w:p>
    <w:p w14:paraId="1112D0F7" w14:textId="77777777" w:rsidR="00773E30" w:rsidRDefault="00773E30" w:rsidP="00773E30">
      <w:pPr>
        <w:jc w:val="both"/>
      </w:pPr>
      <w:r>
        <w:t>-</w:t>
      </w:r>
      <w:r>
        <w:tab/>
        <w:t xml:space="preserve">opis przyjętej metodyki wykonania </w:t>
      </w:r>
    </w:p>
    <w:p w14:paraId="19E75FEF" w14:textId="20B560EC" w:rsidR="00773E30" w:rsidRDefault="00773E30" w:rsidP="00773E30">
      <w:pPr>
        <w:jc w:val="both"/>
      </w:pPr>
      <w:r>
        <w:t>-</w:t>
      </w:r>
      <w:r>
        <w:tab/>
        <w:t>szczegółowy opis wyników</w:t>
      </w:r>
      <w:r w:rsidR="007E1F7E">
        <w:t xml:space="preserve"> systematycznego przeglądu literatury</w:t>
      </w:r>
    </w:p>
    <w:p w14:paraId="5C58233F" w14:textId="77777777" w:rsidR="00773E30" w:rsidRDefault="00773E30" w:rsidP="00773E30">
      <w:pPr>
        <w:jc w:val="both"/>
      </w:pPr>
      <w:r>
        <w:t>-</w:t>
      </w:r>
      <w:r>
        <w:tab/>
        <w:t>podsumowanie</w:t>
      </w:r>
    </w:p>
    <w:p w14:paraId="3C4D1668" w14:textId="0AC281B1" w:rsidR="00773E30" w:rsidRDefault="00773E30" w:rsidP="00773E30">
      <w:pPr>
        <w:jc w:val="both"/>
      </w:pPr>
      <w:r>
        <w:t>-</w:t>
      </w:r>
      <w:r>
        <w:tab/>
        <w:t>aneksy: zawierające wszystkie narzędzia</w:t>
      </w:r>
      <w:r w:rsidR="007E1F7E">
        <w:t xml:space="preserve"> badawcze</w:t>
      </w:r>
      <w:r w:rsidR="00485640">
        <w:t>,</w:t>
      </w:r>
      <w:r>
        <w:t xml:space="preserve"> z których </w:t>
      </w:r>
      <w:r w:rsidR="00485640">
        <w:t>W</w:t>
      </w:r>
      <w:r>
        <w:t>ykonawca korzystał przy wykonaniu ekspertyzy</w:t>
      </w:r>
      <w:r w:rsidR="007E1F7E">
        <w:t xml:space="preserve">, w tym w szczególności układ kodów (wyrazów kluczowych służących wyborowi przeglądanych artykułów/raportów/ opracowań. </w:t>
      </w:r>
    </w:p>
    <w:p w14:paraId="74616A8C" w14:textId="53F98E6D" w:rsidR="00485640" w:rsidRDefault="00623380" w:rsidP="00773E30">
      <w:pPr>
        <w:jc w:val="both"/>
      </w:pPr>
      <w:r>
        <w:t xml:space="preserve">Opracowanie </w:t>
      </w:r>
      <w:r w:rsidR="00485640">
        <w:t>powinn</w:t>
      </w:r>
      <w:r>
        <w:t>o</w:t>
      </w:r>
      <w:r w:rsidR="00485640">
        <w:t xml:space="preserve"> być napisan</w:t>
      </w:r>
      <w:r>
        <w:t>e</w:t>
      </w:r>
      <w:r w:rsidR="00485640">
        <w:t xml:space="preserve"> przystępnym językiem, zawierać tabele, grafy i inne wizualizacje.</w:t>
      </w:r>
    </w:p>
    <w:p w14:paraId="584163BC" w14:textId="01ADBE06" w:rsidR="00773E30" w:rsidRDefault="00773E30" w:rsidP="00773E30">
      <w:pPr>
        <w:jc w:val="both"/>
      </w:pPr>
      <w:r>
        <w:t xml:space="preserve">Łącznie </w:t>
      </w:r>
      <w:r w:rsidR="00623380">
        <w:t>opracowanie I</w:t>
      </w:r>
      <w:r>
        <w:t xml:space="preserve"> </w:t>
      </w:r>
      <w:r w:rsidR="00623380">
        <w:t xml:space="preserve">powinno </w:t>
      </w:r>
      <w:r>
        <w:t>mieć objętość</w:t>
      </w:r>
      <w:r w:rsidR="00623380">
        <w:t xml:space="preserve"> około </w:t>
      </w:r>
      <w:r>
        <w:t xml:space="preserve"> </w:t>
      </w:r>
      <w:r w:rsidR="000F700A">
        <w:t>3</w:t>
      </w:r>
      <w:r>
        <w:t>0 stron znormalizowanego maszynopisu (</w:t>
      </w:r>
      <w:r>
        <w:rPr>
          <w:rFonts w:eastAsia="Calibri" w:cs="Times New Roman"/>
        </w:rPr>
        <w:t>czcionka Times New Roman, 1</w:t>
      </w:r>
      <w:r w:rsidR="00485640">
        <w:rPr>
          <w:rFonts w:eastAsia="Calibri" w:cs="Times New Roman"/>
        </w:rPr>
        <w:t>2</w:t>
      </w:r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pt</w:t>
      </w:r>
      <w:proofErr w:type="spellEnd"/>
      <w:r>
        <w:rPr>
          <w:rFonts w:eastAsia="Calibri" w:cs="Times New Roman"/>
        </w:rPr>
        <w:t>, odstęp</w:t>
      </w:r>
      <w:r w:rsidR="00485640">
        <w:rPr>
          <w:rFonts w:eastAsia="Calibri" w:cs="Times New Roman"/>
        </w:rPr>
        <w:t xml:space="preserve"> 1,5</w:t>
      </w:r>
      <w:r>
        <w:rPr>
          <w:rFonts w:eastAsia="Calibri" w:cs="Times New Roman"/>
        </w:rPr>
        <w:t>).</w:t>
      </w:r>
      <w:r w:rsidR="00623380">
        <w:rPr>
          <w:rFonts w:eastAsia="Calibri" w:cs="Times New Roman"/>
        </w:rPr>
        <w:t xml:space="preserve"> Wykonawca po akceptacji Zamawiającego może dokonać uzasadnionych merytorycznie zmian w układzie rozdziałów i liczbie stron.</w:t>
      </w:r>
    </w:p>
    <w:bookmarkEnd w:id="0"/>
    <w:p w14:paraId="1DCF2345" w14:textId="77777777" w:rsidR="00623380" w:rsidRDefault="00623380" w:rsidP="00E636F5">
      <w:pPr>
        <w:jc w:val="both"/>
      </w:pPr>
      <w:r>
        <w:lastRenderedPageBreak/>
        <w:t>II. systematyczny</w:t>
      </w:r>
      <w:r w:rsidR="00773E30">
        <w:t xml:space="preserve"> przegląd literatury zagranicznej w zakresie sposobów </w:t>
      </w:r>
      <w:r w:rsidR="00E636F5">
        <w:t>oddziaływania społecznego (w tym społecznej wartości dodanej)</w:t>
      </w:r>
      <w:bookmarkStart w:id="1" w:name="_Hlk481390727"/>
    </w:p>
    <w:p w14:paraId="008F9F44" w14:textId="20BA9EFA" w:rsidR="00773E30" w:rsidRDefault="00773E30" w:rsidP="00E636F5">
      <w:pPr>
        <w:jc w:val="both"/>
      </w:pPr>
      <w:r>
        <w:t>-</w:t>
      </w:r>
      <w:r w:rsidR="00623380">
        <w:t xml:space="preserve"> </w:t>
      </w:r>
      <w:r w:rsidR="00EA2959">
        <w:tab/>
      </w:r>
      <w:r>
        <w:t>podmiotów ekonomii społecznej</w:t>
      </w:r>
      <w:r w:rsidR="00623380">
        <w:t>,</w:t>
      </w:r>
    </w:p>
    <w:p w14:paraId="20DDB245" w14:textId="29AFB402" w:rsidR="00773E30" w:rsidRDefault="00773E30" w:rsidP="00EA2959">
      <w:pPr>
        <w:ind w:left="705" w:hanging="705"/>
        <w:jc w:val="both"/>
      </w:pPr>
      <w:r>
        <w:t>-</w:t>
      </w:r>
      <w:r>
        <w:tab/>
        <w:t>przedsięwzięć społecznych</w:t>
      </w:r>
      <w:r w:rsidR="00E636F5">
        <w:t xml:space="preserve"> – rozumianych jako działanie lub sekwencja powiązanych ze sobą działań podejmowanych w określonym czasie np. w formie projektu</w:t>
      </w:r>
      <w:r w:rsidR="00623380">
        <w:t>,</w:t>
      </w:r>
      <w:r>
        <w:t xml:space="preserve"> </w:t>
      </w:r>
    </w:p>
    <w:p w14:paraId="740CCE3E" w14:textId="2600CC9E" w:rsidR="00773E30" w:rsidRDefault="00773E30" w:rsidP="00EA2959">
      <w:pPr>
        <w:ind w:left="705" w:hanging="705"/>
        <w:jc w:val="both"/>
      </w:pPr>
      <w:r>
        <w:t>-</w:t>
      </w:r>
      <w:r>
        <w:tab/>
        <w:t>interwencji publicznych - polityki publicznej rozumianej jako zespół powiązanych ze sobą działań</w:t>
      </w:r>
      <w:r w:rsidR="00623380">
        <w:t>,</w:t>
      </w:r>
      <w:r>
        <w:t xml:space="preserve"> </w:t>
      </w:r>
    </w:p>
    <w:bookmarkEnd w:id="1"/>
    <w:p w14:paraId="2A510950" w14:textId="77777777" w:rsidR="00773E30" w:rsidRDefault="00773E30" w:rsidP="00773E30">
      <w:pPr>
        <w:jc w:val="both"/>
      </w:pPr>
      <w:r>
        <w:t>pod kątem możliwości wykorzystania jako kryterium przyznawania środków publicznych lub służących indeksacji polityk publicznych/interwencji publicznych.</w:t>
      </w:r>
      <w:r w:rsidRPr="005D3859">
        <w:t xml:space="preserve"> </w:t>
      </w:r>
    </w:p>
    <w:p w14:paraId="01DF09C6" w14:textId="2EBB05FD" w:rsidR="00773E30" w:rsidRDefault="00773E30" w:rsidP="00773E30">
      <w:pPr>
        <w:jc w:val="both"/>
      </w:pPr>
      <w:r>
        <w:t>Schemat i sposób dokonania przeglądu będzie podlegać akceptacji Zamawiającego, który zastrzega sobie możliwość wniesienia poprawek. Schemat i sposób dokonania przeglądu powinien być złożony do Zamawiającego w terminie 3 tygodni kalendarzowych od podpisania umowy. Zamawiający ma 5 dni roboczych na wniesieniu uwag, które Wykonawca zobowiązany jest nanieść w terminie kolejnych 5 dni roboczych.</w:t>
      </w:r>
    </w:p>
    <w:p w14:paraId="64869DE2" w14:textId="0281ED88" w:rsidR="00773E30" w:rsidRDefault="00623380" w:rsidP="00773E30">
      <w:pPr>
        <w:jc w:val="both"/>
      </w:pPr>
      <w:r>
        <w:t>Opracowanie II</w:t>
      </w:r>
      <w:r w:rsidR="00773E30">
        <w:t xml:space="preserve"> </w:t>
      </w:r>
      <w:r>
        <w:t xml:space="preserve">powinno </w:t>
      </w:r>
      <w:r w:rsidR="00773E30">
        <w:t>mieć formę raportu zawierającego:</w:t>
      </w:r>
    </w:p>
    <w:p w14:paraId="1B63E6B6" w14:textId="77777777" w:rsidR="00773E30" w:rsidRDefault="00773E30" w:rsidP="00773E30">
      <w:pPr>
        <w:jc w:val="both"/>
      </w:pPr>
      <w:r>
        <w:t>-</w:t>
      </w:r>
      <w:r>
        <w:tab/>
        <w:t>streszczenie</w:t>
      </w:r>
      <w:r>
        <w:tab/>
      </w:r>
    </w:p>
    <w:p w14:paraId="6296850B" w14:textId="77777777" w:rsidR="00773E30" w:rsidRDefault="00773E30" w:rsidP="00773E30">
      <w:pPr>
        <w:jc w:val="both"/>
      </w:pPr>
      <w:r>
        <w:t>-</w:t>
      </w:r>
      <w:r>
        <w:tab/>
        <w:t xml:space="preserve">opis przyjętej metodyki wykonania </w:t>
      </w:r>
    </w:p>
    <w:p w14:paraId="437AE84A" w14:textId="4190DF74" w:rsidR="00773E30" w:rsidRDefault="00773E30" w:rsidP="00773E30">
      <w:pPr>
        <w:jc w:val="both"/>
      </w:pPr>
      <w:r>
        <w:t>-</w:t>
      </w:r>
      <w:r>
        <w:tab/>
        <w:t>szczegółowy opis wyników</w:t>
      </w:r>
      <w:r w:rsidR="007E1F7E">
        <w:t xml:space="preserve"> przeglądu systematycznego </w:t>
      </w:r>
      <w:r w:rsidR="00D10CE9">
        <w:t>literatury</w:t>
      </w:r>
    </w:p>
    <w:p w14:paraId="5D2E2AEF" w14:textId="77777777" w:rsidR="00773E30" w:rsidRDefault="00773E30" w:rsidP="00773E30">
      <w:pPr>
        <w:jc w:val="both"/>
      </w:pPr>
      <w:r>
        <w:t>-</w:t>
      </w:r>
      <w:r>
        <w:tab/>
        <w:t>podsumowanie</w:t>
      </w:r>
    </w:p>
    <w:p w14:paraId="71E35C9F" w14:textId="59EF22FF" w:rsidR="007E1F7E" w:rsidRDefault="00E636F5" w:rsidP="007E1F7E">
      <w:pPr>
        <w:jc w:val="both"/>
      </w:pPr>
      <w:r>
        <w:t>-</w:t>
      </w:r>
      <w:r>
        <w:tab/>
      </w:r>
      <w:bookmarkStart w:id="2" w:name="_Hlk508340080"/>
      <w:r w:rsidR="007E1F7E">
        <w:t xml:space="preserve">aneksy: zawierające wszystkie narzędzia badawcze, z których Wykonawca korzystał przy wykonaniu ekspertyzy, w tym w szczególności układ kodów (wyrazów kluczowych służących wyborowi przeglądanych artykułów/raportów/ opracowań. </w:t>
      </w:r>
    </w:p>
    <w:p w14:paraId="3A652238" w14:textId="7A624ECA" w:rsidR="007E1F7E" w:rsidRDefault="00623380" w:rsidP="007E1F7E">
      <w:pPr>
        <w:jc w:val="both"/>
      </w:pPr>
      <w:r>
        <w:t>Opracowanie II</w:t>
      </w:r>
      <w:r w:rsidR="007E1F7E">
        <w:t xml:space="preserve"> powinn</w:t>
      </w:r>
      <w:r>
        <w:t>o</w:t>
      </w:r>
      <w:r w:rsidR="007E1F7E">
        <w:t xml:space="preserve"> być napisan</w:t>
      </w:r>
      <w:r>
        <w:t>e</w:t>
      </w:r>
      <w:r w:rsidR="007E1F7E">
        <w:t xml:space="preserve"> przystępnym językiem, zawierać tabele, grafy i inne wizualizacje.</w:t>
      </w:r>
    </w:p>
    <w:p w14:paraId="54DE8BE5" w14:textId="4BA24B89" w:rsidR="007E1F7E" w:rsidRDefault="00623380" w:rsidP="007E1F7E">
      <w:pPr>
        <w:jc w:val="both"/>
      </w:pPr>
      <w:r>
        <w:t xml:space="preserve">Opracowanie </w:t>
      </w:r>
      <w:r w:rsidR="007E1F7E">
        <w:t xml:space="preserve"> </w:t>
      </w:r>
      <w:r>
        <w:t>II</w:t>
      </w:r>
      <w:r w:rsidR="007E1F7E">
        <w:t xml:space="preserve"> powinn</w:t>
      </w:r>
      <w:r>
        <w:t>o</w:t>
      </w:r>
      <w:r w:rsidR="007E1F7E">
        <w:t xml:space="preserve"> mieć objętość </w:t>
      </w:r>
      <w:r>
        <w:t xml:space="preserve">około </w:t>
      </w:r>
      <w:r w:rsidR="000F700A">
        <w:t>3</w:t>
      </w:r>
      <w:r w:rsidR="007E1F7E">
        <w:t>0 stron znormalizowanego maszynopisu (</w:t>
      </w:r>
      <w:r w:rsidR="007E1F7E">
        <w:rPr>
          <w:rFonts w:eastAsia="Calibri" w:cs="Times New Roman"/>
        </w:rPr>
        <w:t xml:space="preserve">czcionka Times New Roman, 12 </w:t>
      </w:r>
      <w:proofErr w:type="spellStart"/>
      <w:r w:rsidR="007E1F7E">
        <w:rPr>
          <w:rFonts w:eastAsia="Calibri" w:cs="Times New Roman"/>
        </w:rPr>
        <w:t>pt</w:t>
      </w:r>
      <w:proofErr w:type="spellEnd"/>
      <w:r w:rsidR="007E1F7E">
        <w:rPr>
          <w:rFonts w:eastAsia="Calibri" w:cs="Times New Roman"/>
        </w:rPr>
        <w:t>, odstęp 1,5).</w:t>
      </w:r>
      <w:r>
        <w:rPr>
          <w:rFonts w:eastAsia="Calibri" w:cs="Times New Roman"/>
        </w:rPr>
        <w:t xml:space="preserve"> Wykonawca po akceptacji Zamawiającego może dokonać uzasadnionych merytorycznie zmian w układzie rozdziałów i liczbie stron.</w:t>
      </w:r>
    </w:p>
    <w:p w14:paraId="409FC5E4" w14:textId="6182A035" w:rsidR="00773E30" w:rsidRDefault="000F700A" w:rsidP="000F700A">
      <w:pPr>
        <w:pStyle w:val="Akapitzlist"/>
        <w:numPr>
          <w:ilvl w:val="0"/>
          <w:numId w:val="2"/>
        </w:numPr>
        <w:jc w:val="both"/>
      </w:pPr>
      <w:bookmarkStart w:id="3" w:name="_Hlk481473362"/>
      <w:bookmarkEnd w:id="2"/>
      <w:r>
        <w:t>Termin realizacji (I) oraz (II): 17 grudnia 2018r. W uzasadnionych przypadkach, po akceptacji Zamawiającego, termin może ulec zmianie.</w:t>
      </w:r>
    </w:p>
    <w:p w14:paraId="6B48F4FB" w14:textId="77777777" w:rsidR="00597D84" w:rsidRDefault="00597D84" w:rsidP="00597D84">
      <w:pPr>
        <w:pStyle w:val="Akapitzlist"/>
        <w:jc w:val="both"/>
      </w:pPr>
    </w:p>
    <w:p w14:paraId="4C77A1BB" w14:textId="716632D7" w:rsidR="00773E30" w:rsidRDefault="00773E30" w:rsidP="00773E30">
      <w:pPr>
        <w:pStyle w:val="Akapitzlist"/>
        <w:numPr>
          <w:ilvl w:val="0"/>
          <w:numId w:val="2"/>
        </w:numPr>
        <w:jc w:val="both"/>
      </w:pPr>
      <w:bookmarkStart w:id="4" w:name="_Hlk485811020"/>
      <w:r>
        <w:t xml:space="preserve">Harmonogram realizacji </w:t>
      </w:r>
      <w:r w:rsidR="00623380">
        <w:t xml:space="preserve">opracowań </w:t>
      </w:r>
      <w:r>
        <w:t>(</w:t>
      </w:r>
      <w:r w:rsidR="00623380">
        <w:t>I</w:t>
      </w:r>
      <w:r>
        <w:t>) oraz (</w:t>
      </w:r>
      <w:r w:rsidR="00623380">
        <w:t>II</w:t>
      </w:r>
      <w:r>
        <w:t xml:space="preserve">): Wykonawca przekaże wstępne wersje ekspertyz na </w:t>
      </w:r>
      <w:r w:rsidR="000F700A">
        <w:t>10</w:t>
      </w:r>
      <w:r>
        <w:t xml:space="preserve"> dni roboczych przed terminem zakończenia umowy. Następnie Zamawiający ma </w:t>
      </w:r>
      <w:r w:rsidR="000F700A">
        <w:t>5</w:t>
      </w:r>
      <w:r>
        <w:t xml:space="preserve"> dni roboczych na zgłoszeni</w:t>
      </w:r>
      <w:r w:rsidR="00D53598">
        <w:t>e</w:t>
      </w:r>
      <w:r>
        <w:t xml:space="preserve"> uwag, które Wykonawca zobowiązany jest nanieść w ciągu kolejnych 5 dni roboczych. Zamawiający dopuszcza także trzecią rundę poprawek, która łącznie nie może trwać dłużej niż 10 dni roboczych.</w:t>
      </w:r>
    </w:p>
    <w:p w14:paraId="19B41BF1" w14:textId="77777777" w:rsidR="00D10CE9" w:rsidRDefault="00D10CE9" w:rsidP="00623380">
      <w:pPr>
        <w:pStyle w:val="Akapitzlist"/>
      </w:pPr>
    </w:p>
    <w:p w14:paraId="7964B2F1" w14:textId="0AE84B91" w:rsidR="00D10CE9" w:rsidRPr="00A0534B" w:rsidRDefault="00D10CE9" w:rsidP="00D10CE9">
      <w:pPr>
        <w:pStyle w:val="Akapitzlist"/>
        <w:numPr>
          <w:ilvl w:val="0"/>
          <w:numId w:val="2"/>
        </w:numPr>
        <w:jc w:val="both"/>
      </w:pPr>
      <w:r w:rsidRPr="00A0534B">
        <w:t>Inne obowiązki wykonawcy</w:t>
      </w:r>
      <w:r>
        <w:t>:</w:t>
      </w:r>
    </w:p>
    <w:p w14:paraId="2731B014" w14:textId="7953803C" w:rsidR="00D10CE9" w:rsidRPr="00A0534B" w:rsidRDefault="00D10CE9" w:rsidP="00597D84">
      <w:pPr>
        <w:ind w:left="705" w:hanging="705"/>
        <w:jc w:val="both"/>
      </w:pPr>
      <w:r w:rsidRPr="00A0534B">
        <w:t>-</w:t>
      </w:r>
      <w:r w:rsidRPr="00A0534B">
        <w:tab/>
      </w:r>
      <w:r w:rsidR="00597D84">
        <w:tab/>
      </w:r>
      <w:r w:rsidRPr="00A0534B">
        <w:t>konsultowania założeń i koncepcji realizacji ekspertyz</w:t>
      </w:r>
      <w:r>
        <w:t xml:space="preserve"> z Zamawiającym oraz innymi ekspertami – w zależności od potrzeb,</w:t>
      </w:r>
    </w:p>
    <w:p w14:paraId="383CB1BA" w14:textId="77777777" w:rsidR="00D10CE9" w:rsidRPr="00A0534B" w:rsidRDefault="00D10CE9" w:rsidP="00D10CE9">
      <w:pPr>
        <w:jc w:val="both"/>
      </w:pPr>
      <w:r w:rsidRPr="00A0534B">
        <w:t>-</w:t>
      </w:r>
      <w:r w:rsidRPr="00A0534B">
        <w:tab/>
        <w:t>bieżących kontakt z Zamawiającym</w:t>
      </w:r>
      <w:r>
        <w:t>,</w:t>
      </w:r>
    </w:p>
    <w:p w14:paraId="0B7B0AD5" w14:textId="2C6281DA" w:rsidR="00D10CE9" w:rsidRDefault="00D10CE9" w:rsidP="00D10CE9">
      <w:pPr>
        <w:jc w:val="both"/>
      </w:pPr>
      <w:r w:rsidRPr="00A0534B">
        <w:lastRenderedPageBreak/>
        <w:t>-</w:t>
      </w:r>
      <w:r w:rsidRPr="00A0534B">
        <w:tab/>
        <w:t xml:space="preserve">uczestnictwo w min. </w:t>
      </w:r>
      <w:r w:rsidR="00597D84">
        <w:t>3</w:t>
      </w:r>
      <w:r w:rsidRPr="00A0534B">
        <w:t xml:space="preserve"> spotkani</w:t>
      </w:r>
      <w:r w:rsidR="00597D84">
        <w:t>ach</w:t>
      </w:r>
      <w:r w:rsidRPr="00A0534B">
        <w:t xml:space="preserve"> dotyczących realizacji ekspertyzy. Zamawiający dopuszcza spotkanie w formie telekonferencji</w:t>
      </w:r>
      <w:r w:rsidR="00597D84">
        <w:t>.</w:t>
      </w:r>
    </w:p>
    <w:bookmarkEnd w:id="3"/>
    <w:bookmarkEnd w:id="4"/>
    <w:p w14:paraId="1E618B94" w14:textId="58C15049" w:rsidR="00773E30" w:rsidRDefault="00597D84" w:rsidP="00C139EE">
      <w:r w:rsidRPr="00597D84">
        <w:rPr>
          <w:b/>
        </w:rPr>
        <w:t>Część 2</w:t>
      </w:r>
      <w:r w:rsidR="00773E30" w:rsidRPr="00597D84">
        <w:rPr>
          <w:b/>
        </w:rPr>
        <w:t xml:space="preserve">. </w:t>
      </w:r>
      <w:r w:rsidR="00D53598" w:rsidRPr="00597D84">
        <w:rPr>
          <w:b/>
        </w:rPr>
        <w:t xml:space="preserve">OPRACOWANIE </w:t>
      </w:r>
      <w:r w:rsidR="00773E30" w:rsidRPr="00597D84">
        <w:rPr>
          <w:b/>
        </w:rPr>
        <w:t>NARZĘDZI DO MIERZENIA</w:t>
      </w:r>
      <w:r w:rsidR="007E1F7E" w:rsidRPr="00597D84">
        <w:rPr>
          <w:b/>
        </w:rPr>
        <w:t>ODDZIAŁYWANIA SPOŁECZNEGO</w:t>
      </w:r>
      <w:r w:rsidR="00EA2959" w:rsidRPr="00597D84">
        <w:rPr>
          <w:b/>
        </w:rPr>
        <w:t>,</w:t>
      </w:r>
      <w:r w:rsidR="00EA2959">
        <w:t xml:space="preserve"> w tym</w:t>
      </w:r>
      <w:r w:rsidR="00773E30">
        <w:t>:</w:t>
      </w:r>
    </w:p>
    <w:p w14:paraId="1F345EBF" w14:textId="635F4CC3" w:rsidR="00773E30" w:rsidRDefault="00EA2959" w:rsidP="00773E30">
      <w:pPr>
        <w:pStyle w:val="Akapitzlist"/>
        <w:numPr>
          <w:ilvl w:val="0"/>
          <w:numId w:val="3"/>
        </w:numPr>
        <w:jc w:val="both"/>
      </w:pPr>
      <w:r>
        <w:t xml:space="preserve">III. </w:t>
      </w:r>
      <w:r w:rsidR="00773E30">
        <w:t xml:space="preserve">opracowanie koncepcji systemowego wykorzystania sposobów mierzenia </w:t>
      </w:r>
      <w:r w:rsidR="00E636F5">
        <w:t>oddziaływania społecznego (w tym społecznej wartości dodanej)</w:t>
      </w:r>
      <w:r w:rsidR="00773E30">
        <w:t>w polityce publiczne</w:t>
      </w:r>
      <w:r w:rsidR="00597D84">
        <w:t>j. Opracowanie ma mieć formę narzędzia, które może zostać użyte w praktyce</w:t>
      </w:r>
      <w:r w:rsidR="00597D84" w:rsidRPr="00597D84">
        <w:t xml:space="preserve"> </w:t>
      </w:r>
      <w:r w:rsidR="00597D84">
        <w:t xml:space="preserve">jako kryterium przyznawania środków publicznych. Narzędzie powinno umożliwiać ocenę oddziaływania społecznego </w:t>
      </w:r>
      <w:r w:rsidR="00E636F5">
        <w:t xml:space="preserve"> dla</w:t>
      </w:r>
      <w:r w:rsidR="00773E30">
        <w:t>:</w:t>
      </w:r>
    </w:p>
    <w:p w14:paraId="37237EC8" w14:textId="36007DF1" w:rsidR="00773E30" w:rsidRDefault="00773E30" w:rsidP="00773E30">
      <w:pPr>
        <w:jc w:val="both"/>
      </w:pPr>
      <w:r>
        <w:t>-</w:t>
      </w:r>
      <w:r>
        <w:tab/>
        <w:t>podmiotów ekonomii społecznej, z wyłączeniem przedsiębiorstw społecznych</w:t>
      </w:r>
      <w:r w:rsidR="00EA2959">
        <w:t>,</w:t>
      </w:r>
    </w:p>
    <w:p w14:paraId="67C39DBD" w14:textId="43BEF107" w:rsidR="00773E30" w:rsidRDefault="00773E30" w:rsidP="00773E30">
      <w:pPr>
        <w:jc w:val="both"/>
      </w:pPr>
      <w:r>
        <w:t>-</w:t>
      </w:r>
      <w:r>
        <w:tab/>
        <w:t>przedsiębiorstw społecznych</w:t>
      </w:r>
      <w:r w:rsidR="00EA2959">
        <w:t xml:space="preserve">, </w:t>
      </w:r>
    </w:p>
    <w:p w14:paraId="568748C1" w14:textId="78241CC3" w:rsidR="00773E30" w:rsidRDefault="00773E30" w:rsidP="00773E30">
      <w:pPr>
        <w:jc w:val="both"/>
      </w:pPr>
      <w:r>
        <w:t>-</w:t>
      </w:r>
      <w:r>
        <w:tab/>
        <w:t>przedsięwzięć społecznych</w:t>
      </w:r>
      <w:r w:rsidR="00E636F5">
        <w:t xml:space="preserve">  – rozumianych jako działanie lub sekwencja powiązanych ze sobą działań podejmowanych w określonym czasie np. w formie projektu</w:t>
      </w:r>
      <w:r w:rsidR="00EA2959">
        <w:t>.</w:t>
      </w:r>
    </w:p>
    <w:p w14:paraId="37AD5C46" w14:textId="0B31F303" w:rsidR="00773E30" w:rsidRDefault="00E636F5" w:rsidP="00773E30">
      <w:pPr>
        <w:jc w:val="both"/>
      </w:pPr>
      <w:r>
        <w:t xml:space="preserve">Stworzone narzędzie powinno mieć zastosowanie jako kryterium/kryteria przyznawania środków publicznych </w:t>
      </w:r>
      <w:r w:rsidR="00773E30">
        <w:t>Powinno być przejrzyste i łatwe w użyciu. Narzędzie powinno być szczegółowo opisane w formie procedury post</w:t>
      </w:r>
      <w:r w:rsidR="001348D8">
        <w:t>ę</w:t>
      </w:r>
      <w:r w:rsidR="00773E30">
        <w:t>powania wraz z przypisaniem roli poszczególnym użytkownikom narzędzia. Do narzędzia powinna być załączona szczegółowa instrukcja dla różnych użytkowników tego narzędzia.</w:t>
      </w:r>
    </w:p>
    <w:p w14:paraId="5E78C1B3" w14:textId="77777777" w:rsidR="00661B92" w:rsidRDefault="00661B92" w:rsidP="00661B92">
      <w:pPr>
        <w:jc w:val="both"/>
      </w:pPr>
      <w:r>
        <w:t xml:space="preserve">Koncepcja realizacji (opracowania) ekspertyzy podlegać będzie akceptacji Zamawiającego. Koncepcja realizacji ekspertyzy powinna zostać złożona do Zamawiającego w terminie 3 tygodni kalendarzowych od momentu akceptacji opracowań I </w:t>
      </w:r>
      <w:proofErr w:type="spellStart"/>
      <w:r>
        <w:t>i</w:t>
      </w:r>
      <w:proofErr w:type="spellEnd"/>
      <w:r>
        <w:t xml:space="preserve"> II w ramach Części nr 1 niniejszego zamówienia. Zamawiający ma 5 dni roboczych na wniesienie uwag, które Wykonawca zobowiązany jest nanieść w terminie kolejnych 5 dni roboczych.</w:t>
      </w:r>
    </w:p>
    <w:p w14:paraId="4F7BA776" w14:textId="72D0FCC3" w:rsidR="00773E30" w:rsidRDefault="00EA2959" w:rsidP="00773E30">
      <w:pPr>
        <w:jc w:val="both"/>
      </w:pPr>
      <w:bookmarkStart w:id="5" w:name="_Hlk485810579"/>
      <w:r>
        <w:t>Opracowanie III</w:t>
      </w:r>
      <w:r w:rsidR="00773E30">
        <w:t xml:space="preserve"> powinn</w:t>
      </w:r>
      <w:r>
        <w:t>o</w:t>
      </w:r>
      <w:r w:rsidR="00773E30">
        <w:t xml:space="preserve"> mieć formę raportu zawierającego:</w:t>
      </w:r>
    </w:p>
    <w:p w14:paraId="55D42971" w14:textId="77777777" w:rsidR="00773E30" w:rsidRDefault="00773E30" w:rsidP="00773E30">
      <w:pPr>
        <w:jc w:val="both"/>
      </w:pPr>
      <w:r>
        <w:t>-</w:t>
      </w:r>
      <w:r>
        <w:tab/>
        <w:t>streszczenie</w:t>
      </w:r>
      <w:r>
        <w:tab/>
      </w:r>
    </w:p>
    <w:p w14:paraId="4746AA25" w14:textId="77777777" w:rsidR="00773E30" w:rsidRDefault="00773E30" w:rsidP="00773E30">
      <w:pPr>
        <w:jc w:val="both"/>
      </w:pPr>
      <w:r>
        <w:t>-</w:t>
      </w:r>
      <w:r>
        <w:tab/>
        <w:t xml:space="preserve">opis przyjętej metodyki wykonania </w:t>
      </w:r>
    </w:p>
    <w:p w14:paraId="7CFA1BF6" w14:textId="77777777" w:rsidR="00773E30" w:rsidRDefault="00773E30" w:rsidP="00EA2959">
      <w:pPr>
        <w:ind w:left="705" w:hanging="705"/>
        <w:jc w:val="both"/>
      </w:pPr>
      <w:r>
        <w:t>-</w:t>
      </w:r>
      <w:r>
        <w:tab/>
        <w:t>szczegółowy opis narzędzia (w szczególności procedury postepowania, opis ról poszczególnych rodzajów użytkowników, instrukcja obsługi narzędzia).</w:t>
      </w:r>
    </w:p>
    <w:p w14:paraId="220FBA5C" w14:textId="77777777" w:rsidR="00773E30" w:rsidRDefault="00773E30" w:rsidP="00773E30">
      <w:pPr>
        <w:jc w:val="both"/>
      </w:pPr>
      <w:r>
        <w:t>-</w:t>
      </w:r>
      <w:r>
        <w:tab/>
        <w:t>podsumowanie</w:t>
      </w:r>
    </w:p>
    <w:p w14:paraId="3E31FA55" w14:textId="63DDD76F" w:rsidR="00D10CE9" w:rsidRDefault="00D10CE9" w:rsidP="00D10CE9">
      <w:pPr>
        <w:jc w:val="both"/>
      </w:pPr>
      <w:r>
        <w:t>-</w:t>
      </w:r>
      <w:r>
        <w:tab/>
        <w:t xml:space="preserve">aneksy: zawierające wszystkie narzędzia badawcze, z których Wykonawca korzystał przy wykonaniu ekspertyzy, w tym w szczególności układ kodów (wyrazów kluczowych służących wyborowi przeglądanych artykułów/raportów/ opracowań. </w:t>
      </w:r>
    </w:p>
    <w:p w14:paraId="1E5D74A2" w14:textId="591075AC" w:rsidR="00D10CE9" w:rsidRDefault="00597D84" w:rsidP="00D10CE9">
      <w:pPr>
        <w:jc w:val="both"/>
      </w:pPr>
      <w:r>
        <w:t>Opracowanie</w:t>
      </w:r>
      <w:r w:rsidR="00D10CE9">
        <w:t xml:space="preserve"> powinn</w:t>
      </w:r>
      <w:r>
        <w:t>o</w:t>
      </w:r>
      <w:r w:rsidR="00D10CE9">
        <w:t xml:space="preserve"> być napisana przystępnym językiem, zawierać tabele, grafy i inne wizualizacje.</w:t>
      </w:r>
    </w:p>
    <w:p w14:paraId="6D2E1456" w14:textId="3F81D320" w:rsidR="00EA2959" w:rsidRDefault="00597D84" w:rsidP="00EA2959">
      <w:pPr>
        <w:jc w:val="both"/>
      </w:pPr>
      <w:r>
        <w:t xml:space="preserve">Opracowanie III </w:t>
      </w:r>
      <w:r w:rsidR="00D10CE9">
        <w:t>powinn</w:t>
      </w:r>
      <w:r>
        <w:t>o</w:t>
      </w:r>
      <w:r w:rsidR="00D10CE9">
        <w:t xml:space="preserve"> mieć objętość </w:t>
      </w:r>
      <w:r w:rsidR="00EA2959">
        <w:t xml:space="preserve">około </w:t>
      </w:r>
      <w:r>
        <w:t>3</w:t>
      </w:r>
      <w:r w:rsidR="00D10CE9">
        <w:t>0 stron znormalizowanego maszynopisu (</w:t>
      </w:r>
      <w:r w:rsidR="00D10CE9">
        <w:rPr>
          <w:rFonts w:eastAsia="Calibri" w:cs="Times New Roman"/>
        </w:rPr>
        <w:t xml:space="preserve">czcionka Times New Roman, 12 </w:t>
      </w:r>
      <w:proofErr w:type="spellStart"/>
      <w:r w:rsidR="00D10CE9">
        <w:rPr>
          <w:rFonts w:eastAsia="Calibri" w:cs="Times New Roman"/>
        </w:rPr>
        <w:t>pt</w:t>
      </w:r>
      <w:proofErr w:type="spellEnd"/>
      <w:r w:rsidR="00D10CE9">
        <w:rPr>
          <w:rFonts w:eastAsia="Calibri" w:cs="Times New Roman"/>
        </w:rPr>
        <w:t>, odstęp 1,5).</w:t>
      </w:r>
      <w:r w:rsidR="00EA2959">
        <w:rPr>
          <w:rFonts w:eastAsia="Calibri" w:cs="Times New Roman"/>
        </w:rPr>
        <w:t xml:space="preserve"> Wykonawca po akceptacji Zamawiającego może dokonać uzasadnionych merytorycznie zmian w układzie rozdziałów i liczbie stron.</w:t>
      </w:r>
    </w:p>
    <w:p w14:paraId="025037F5" w14:textId="6A94E550" w:rsidR="00D10CE9" w:rsidRDefault="00D10CE9" w:rsidP="00D10CE9">
      <w:pPr>
        <w:jc w:val="both"/>
      </w:pPr>
    </w:p>
    <w:bookmarkEnd w:id="5"/>
    <w:p w14:paraId="728D3994" w14:textId="2EE6E37E" w:rsidR="00597D84" w:rsidRDefault="00EA2959" w:rsidP="00597D84">
      <w:pPr>
        <w:pStyle w:val="Akapitzlist"/>
        <w:numPr>
          <w:ilvl w:val="0"/>
          <w:numId w:val="3"/>
        </w:numPr>
        <w:jc w:val="both"/>
      </w:pPr>
      <w:r>
        <w:t xml:space="preserve">IV. </w:t>
      </w:r>
      <w:r w:rsidR="00773E30">
        <w:t xml:space="preserve">opracowanie narzędzia do mierzenia </w:t>
      </w:r>
      <w:r w:rsidR="00D10CE9">
        <w:t xml:space="preserve">oddziaływania społecznego (w tym społecznej wartości dodanej) </w:t>
      </w:r>
      <w:r w:rsidR="00773E30">
        <w:t>interwencji publicznych (polityki publicznej</w:t>
      </w:r>
      <w:r w:rsidR="00773E30" w:rsidRPr="00365345">
        <w:t xml:space="preserve"> </w:t>
      </w:r>
      <w:r w:rsidR="00773E30">
        <w:t>polityki publicznej</w:t>
      </w:r>
      <w:r w:rsidR="001348D8">
        <w:t>,</w:t>
      </w:r>
      <w:r w:rsidR="00773E30">
        <w:t xml:space="preserve"> rozumianej jako zespół powiązanych ze sobą działań).</w:t>
      </w:r>
      <w:r w:rsidR="00773E30" w:rsidRPr="007A2671">
        <w:t xml:space="preserve"> </w:t>
      </w:r>
      <w:r w:rsidR="00773E30">
        <w:t xml:space="preserve">Powinno być przejrzyste i łatwe w użyciu. </w:t>
      </w:r>
      <w:r w:rsidR="00597D84">
        <w:t>Narzędzie powinno umożliwiać ocenę oddziaływania społecznego  dla:</w:t>
      </w:r>
    </w:p>
    <w:p w14:paraId="0FB60BFF" w14:textId="663B9972" w:rsidR="00773E30" w:rsidRDefault="00773E30" w:rsidP="00EA2959">
      <w:pPr>
        <w:ind w:left="360" w:hanging="360"/>
        <w:jc w:val="both"/>
      </w:pPr>
      <w:r>
        <w:lastRenderedPageBreak/>
        <w:t>-</w:t>
      </w:r>
      <w:r>
        <w:tab/>
        <w:t>dla interwencji publicznych  skierowanych bezpośrednio do osób zagrożonych wykluczeniem społecznym lub wykluczonych (</w:t>
      </w:r>
      <w:r w:rsidR="00102366">
        <w:t>10</w:t>
      </w:r>
      <w:r>
        <w:t xml:space="preserve"> ekspertyza),</w:t>
      </w:r>
    </w:p>
    <w:p w14:paraId="55F6DE52" w14:textId="177A8FCB" w:rsidR="00773E30" w:rsidRDefault="00773E30" w:rsidP="00EA2959">
      <w:pPr>
        <w:ind w:left="360" w:hanging="360"/>
        <w:jc w:val="both"/>
      </w:pPr>
      <w:r>
        <w:t>-</w:t>
      </w:r>
      <w:r>
        <w:tab/>
        <w:t>dla interwencji publicznych, których jeden z głównych celów ma charakter społeczny (</w:t>
      </w:r>
      <w:r w:rsidR="00102366">
        <w:t>11</w:t>
      </w:r>
      <w:r>
        <w:t xml:space="preserve"> ekspertyza),</w:t>
      </w:r>
    </w:p>
    <w:p w14:paraId="7ABBE1D4" w14:textId="00851413" w:rsidR="00773E30" w:rsidRDefault="00773E30" w:rsidP="00EA2959">
      <w:pPr>
        <w:ind w:left="360" w:hanging="360"/>
        <w:jc w:val="both"/>
      </w:pPr>
      <w:r>
        <w:t>-</w:t>
      </w:r>
      <w:r>
        <w:tab/>
        <w:t>dla interwencji publicznych, dla których cele społeczne są poboczne/uzupełniające (</w:t>
      </w:r>
      <w:r w:rsidR="00102366">
        <w:t>12</w:t>
      </w:r>
      <w:r>
        <w:t xml:space="preserve"> ekspertyza). </w:t>
      </w:r>
    </w:p>
    <w:p w14:paraId="0E18540C" w14:textId="53F1FD97" w:rsidR="00773E30" w:rsidRDefault="00773E30" w:rsidP="00773E30">
      <w:pPr>
        <w:jc w:val="both"/>
      </w:pPr>
      <w:r>
        <w:t xml:space="preserve">Narzędzie powinno być szczegółowo opisane w formie procedury </w:t>
      </w:r>
      <w:r w:rsidR="00282F71">
        <w:t>postępowania</w:t>
      </w:r>
      <w:r>
        <w:t xml:space="preserve"> wraz z przypisaniem roli poszczególnym użytkownikom systemu. Do narzędzia powinna być załączona szczegółowa instrukcja dla różnych użytkowników tego narzędzia.</w:t>
      </w:r>
    </w:p>
    <w:p w14:paraId="565D051C" w14:textId="686834BB" w:rsidR="00773E30" w:rsidRDefault="00773E30" w:rsidP="00773E30">
      <w:pPr>
        <w:jc w:val="both"/>
      </w:pPr>
      <w:r>
        <w:t xml:space="preserve">Koncepcja realizacji (opracowania) ekspertyzy podlegać będzie akceptacji </w:t>
      </w:r>
      <w:r w:rsidR="001348D8">
        <w:t>Z</w:t>
      </w:r>
      <w:r>
        <w:t xml:space="preserve">amawiającego. Koncepcja realizacji ekspertyzy powinna zostać złożona do Zamawiającego w terminie </w:t>
      </w:r>
      <w:r w:rsidR="00597D84">
        <w:t xml:space="preserve">3 tygodni </w:t>
      </w:r>
      <w:r>
        <w:t xml:space="preserve">kalendarzowych od </w:t>
      </w:r>
      <w:r w:rsidR="00597D84">
        <w:t xml:space="preserve">momentu akceptacji opracowań I </w:t>
      </w:r>
      <w:proofErr w:type="spellStart"/>
      <w:r w:rsidR="00597D84">
        <w:t>i</w:t>
      </w:r>
      <w:proofErr w:type="spellEnd"/>
      <w:r w:rsidR="00597D84">
        <w:t xml:space="preserve"> II w ramach Części nr 1 niniejszego zamówienia</w:t>
      </w:r>
      <w:r>
        <w:t>. Zamawiający ma 5 dni roboczych na wniesienie uwag, które Wykonawca zobowiązany jest nanieść w terminie kolejnych 5 dni roboczych.</w:t>
      </w:r>
    </w:p>
    <w:p w14:paraId="2E08960A" w14:textId="7510A41C" w:rsidR="00773E30" w:rsidRDefault="00EA2959" w:rsidP="00773E30">
      <w:pPr>
        <w:jc w:val="both"/>
      </w:pPr>
      <w:bookmarkStart w:id="6" w:name="_Hlk485811314"/>
      <w:r>
        <w:t>Opracowanie IV</w:t>
      </w:r>
      <w:r w:rsidR="00773E30">
        <w:t xml:space="preserve"> powinn</w:t>
      </w:r>
      <w:r>
        <w:t>o</w:t>
      </w:r>
      <w:r w:rsidR="00773E30">
        <w:t xml:space="preserve"> mieć formę raportu zawierającego:</w:t>
      </w:r>
    </w:p>
    <w:p w14:paraId="1A70D23B" w14:textId="77777777" w:rsidR="00773E30" w:rsidRDefault="00773E30" w:rsidP="00773E30">
      <w:pPr>
        <w:jc w:val="both"/>
      </w:pPr>
      <w:r>
        <w:t>-</w:t>
      </w:r>
      <w:r>
        <w:tab/>
        <w:t>streszczenie</w:t>
      </w:r>
      <w:r>
        <w:tab/>
      </w:r>
    </w:p>
    <w:p w14:paraId="753DD7AE" w14:textId="77777777" w:rsidR="00773E30" w:rsidRDefault="00773E30" w:rsidP="00773E30">
      <w:pPr>
        <w:jc w:val="both"/>
      </w:pPr>
      <w:r>
        <w:t>-</w:t>
      </w:r>
      <w:r>
        <w:tab/>
        <w:t xml:space="preserve">opis przyjętej metodyki wykonania </w:t>
      </w:r>
    </w:p>
    <w:p w14:paraId="60881B88" w14:textId="77777777" w:rsidR="00773E30" w:rsidRDefault="00773E30" w:rsidP="00EA2959">
      <w:pPr>
        <w:ind w:left="705" w:hanging="705"/>
        <w:jc w:val="both"/>
      </w:pPr>
      <w:r>
        <w:t>-</w:t>
      </w:r>
      <w:r>
        <w:tab/>
        <w:t>szczegółowy opis narzędzia (w szczególności procedury postepowania, opis ról poszczególnych rodzajów użytkowników, instrukcja obsługi narzędzia).</w:t>
      </w:r>
    </w:p>
    <w:p w14:paraId="60950AD8" w14:textId="77777777" w:rsidR="00773E30" w:rsidRDefault="00773E30" w:rsidP="00773E30">
      <w:pPr>
        <w:jc w:val="both"/>
      </w:pPr>
      <w:r>
        <w:t>-</w:t>
      </w:r>
      <w:r>
        <w:tab/>
        <w:t>podsumowanie</w:t>
      </w:r>
    </w:p>
    <w:p w14:paraId="77911C5B" w14:textId="6C88A3B7" w:rsidR="00D10CE9" w:rsidRDefault="00D10CE9" w:rsidP="00D10CE9">
      <w:pPr>
        <w:jc w:val="both"/>
      </w:pPr>
      <w:r>
        <w:t>-</w:t>
      </w:r>
      <w:r>
        <w:tab/>
        <w:t xml:space="preserve">aneksy: zawierające wszystkie narzędzia badawcze, z których Wykonawca korzystał przy wykonaniu ekspertyzy, w tym w szczególności układ kodów (wyrazów kluczowych służących wyborowi przeglądanych artykułów/raportów/ opracowań. </w:t>
      </w:r>
    </w:p>
    <w:p w14:paraId="14F9CD04" w14:textId="67DD3076" w:rsidR="00D10CE9" w:rsidRDefault="00597D84" w:rsidP="00D10CE9">
      <w:pPr>
        <w:jc w:val="both"/>
      </w:pPr>
      <w:r>
        <w:t>Opracowanie</w:t>
      </w:r>
      <w:r w:rsidR="00D10CE9">
        <w:t xml:space="preserve"> powinn</w:t>
      </w:r>
      <w:r>
        <w:t>o</w:t>
      </w:r>
      <w:r w:rsidR="00D10CE9">
        <w:t xml:space="preserve"> być napisana przystępnym językiem, zawierać tabele, grafy i inne wizualizacje.</w:t>
      </w:r>
    </w:p>
    <w:p w14:paraId="4DB165EB" w14:textId="080FCEF1" w:rsidR="00EA2959" w:rsidRDefault="00597D84" w:rsidP="00EA2959">
      <w:pPr>
        <w:jc w:val="both"/>
      </w:pPr>
      <w:r>
        <w:t>Opracowanie IV</w:t>
      </w:r>
      <w:r w:rsidR="00D10CE9">
        <w:t xml:space="preserve"> powinn</w:t>
      </w:r>
      <w:r>
        <w:t>o</w:t>
      </w:r>
      <w:r w:rsidR="00D10CE9">
        <w:t xml:space="preserve"> mieć objętość </w:t>
      </w:r>
      <w:r w:rsidR="00EA2959">
        <w:t xml:space="preserve"> około </w:t>
      </w:r>
      <w:r>
        <w:t>3</w:t>
      </w:r>
      <w:r w:rsidR="00D10CE9">
        <w:t>0 stron znormalizowanego maszynopisu (</w:t>
      </w:r>
      <w:r w:rsidR="00D10CE9">
        <w:rPr>
          <w:rFonts w:eastAsia="Calibri" w:cs="Times New Roman"/>
        </w:rPr>
        <w:t xml:space="preserve">czcionka Times New Roman, 12 </w:t>
      </w:r>
      <w:proofErr w:type="spellStart"/>
      <w:r w:rsidR="00D10CE9">
        <w:rPr>
          <w:rFonts w:eastAsia="Calibri" w:cs="Times New Roman"/>
        </w:rPr>
        <w:t>pt</w:t>
      </w:r>
      <w:proofErr w:type="spellEnd"/>
      <w:r w:rsidR="00D10CE9">
        <w:rPr>
          <w:rFonts w:eastAsia="Calibri" w:cs="Times New Roman"/>
        </w:rPr>
        <w:t>, odstęp 1,5).</w:t>
      </w:r>
      <w:r w:rsidR="00EA2959">
        <w:rPr>
          <w:rFonts w:eastAsia="Calibri" w:cs="Times New Roman"/>
        </w:rPr>
        <w:t xml:space="preserve"> Wykonawca po akceptacji Zamawiającego może dokonać uzasadnionych merytorycznie zmian w układzie rozdziałów i liczbie stron.</w:t>
      </w:r>
    </w:p>
    <w:p w14:paraId="4E3AD2F7" w14:textId="6B16330D" w:rsidR="00D10CE9" w:rsidRDefault="00D10CE9" w:rsidP="00D10CE9">
      <w:pPr>
        <w:jc w:val="both"/>
      </w:pPr>
    </w:p>
    <w:p w14:paraId="3E9FF7EE" w14:textId="7A56D528" w:rsidR="00597D84" w:rsidRDefault="00597D84" w:rsidP="00597D84">
      <w:pPr>
        <w:pStyle w:val="Akapitzlist"/>
        <w:numPr>
          <w:ilvl w:val="0"/>
          <w:numId w:val="2"/>
        </w:numPr>
        <w:jc w:val="both"/>
      </w:pPr>
      <w:r>
        <w:t>Termin realizacji (III) oraz (IV): 30 czerwca 2019r. W uzasadnionych przypadkach, po akceptacji Zamawiającego, termin może ulec zmianie.</w:t>
      </w:r>
    </w:p>
    <w:p w14:paraId="19F72C59" w14:textId="77777777" w:rsidR="00597D84" w:rsidRDefault="00597D84" w:rsidP="00597D84">
      <w:pPr>
        <w:pStyle w:val="Akapitzlist"/>
        <w:jc w:val="both"/>
      </w:pPr>
    </w:p>
    <w:p w14:paraId="3A6CFF5D" w14:textId="0C177AD9" w:rsidR="00597D84" w:rsidRDefault="00597D84" w:rsidP="00597D84">
      <w:pPr>
        <w:pStyle w:val="Akapitzlist"/>
        <w:numPr>
          <w:ilvl w:val="0"/>
          <w:numId w:val="2"/>
        </w:numPr>
        <w:jc w:val="both"/>
      </w:pPr>
      <w:r>
        <w:t>Harmonogram realizacji opracowań (III) oraz (IV): Wykonawca przekaże wstępne wersje ekspertyz na 10 dni roboczych przed terminem zakończenia umowy. Następnie Zamawiający ma 5 dni roboczych na zgłoszenie uwag, które Wykonawca zobowiązany jest nanieść w ciągu kolejnych 5 dni roboczych. Zamawiający dopuszcza także trzecią rundę poprawek, która łącznie nie może trwać dłużej niż 10 dni roboczych.</w:t>
      </w:r>
    </w:p>
    <w:p w14:paraId="7587C015" w14:textId="77777777" w:rsidR="00773E30" w:rsidRDefault="00773E30" w:rsidP="00773E30">
      <w:pPr>
        <w:jc w:val="both"/>
      </w:pPr>
    </w:p>
    <w:p w14:paraId="3CC94015" w14:textId="77777777" w:rsidR="00773E30" w:rsidRDefault="00773E30" w:rsidP="00773E30">
      <w:pPr>
        <w:pStyle w:val="Akapitzlist"/>
        <w:jc w:val="both"/>
      </w:pPr>
    </w:p>
    <w:p w14:paraId="0FAC2B8A" w14:textId="45BB238C" w:rsidR="00773E30" w:rsidRPr="00A0534B" w:rsidRDefault="00773E30" w:rsidP="00773E30">
      <w:pPr>
        <w:pStyle w:val="Akapitzlist"/>
        <w:numPr>
          <w:ilvl w:val="0"/>
          <w:numId w:val="2"/>
        </w:numPr>
        <w:jc w:val="both"/>
      </w:pPr>
      <w:r w:rsidRPr="00A0534B">
        <w:t>Inne obowiązki wykonawcy</w:t>
      </w:r>
      <w:r w:rsidR="00597D84">
        <w:t>:</w:t>
      </w:r>
    </w:p>
    <w:p w14:paraId="5B0F12AA" w14:textId="2CF10A16" w:rsidR="00773E30" w:rsidRPr="00A0534B" w:rsidRDefault="00773E30" w:rsidP="00661B92">
      <w:pPr>
        <w:ind w:left="705" w:hanging="705"/>
        <w:jc w:val="both"/>
      </w:pPr>
      <w:r w:rsidRPr="00A0534B">
        <w:lastRenderedPageBreak/>
        <w:t>-</w:t>
      </w:r>
      <w:r w:rsidRPr="00A0534B">
        <w:tab/>
      </w:r>
      <w:r w:rsidR="00661B92">
        <w:tab/>
      </w:r>
      <w:r w:rsidRPr="00A0534B">
        <w:t>konsultowania założeń i koncepcji realizacji ekspertyz</w:t>
      </w:r>
      <w:r>
        <w:t xml:space="preserve"> z Zamawiającym oraz innymi ekspertami – w zależności od potrzeb,</w:t>
      </w:r>
    </w:p>
    <w:p w14:paraId="6C4BF32C" w14:textId="77777777" w:rsidR="00773E30" w:rsidRPr="00A0534B" w:rsidRDefault="00773E30" w:rsidP="00773E30">
      <w:pPr>
        <w:jc w:val="both"/>
      </w:pPr>
      <w:r w:rsidRPr="00A0534B">
        <w:t>-</w:t>
      </w:r>
      <w:r w:rsidRPr="00A0534B">
        <w:tab/>
        <w:t>bieżących kontakt z Zamawiającym</w:t>
      </w:r>
      <w:r>
        <w:t>,</w:t>
      </w:r>
    </w:p>
    <w:p w14:paraId="38BCE302" w14:textId="56E39F90" w:rsidR="00773E30" w:rsidRDefault="00773E30" w:rsidP="00661B92">
      <w:pPr>
        <w:ind w:left="705" w:hanging="705"/>
        <w:jc w:val="both"/>
      </w:pPr>
      <w:r w:rsidRPr="00A0534B">
        <w:t>-</w:t>
      </w:r>
      <w:r w:rsidRPr="00A0534B">
        <w:tab/>
        <w:t>uczestnictwo w min. 3 spotkaniach dotyczących realizacji ekspertyzy. Zamawiający dopuszcza spotkanie w formie telekonferencji</w:t>
      </w:r>
      <w:bookmarkEnd w:id="6"/>
      <w:r w:rsidRPr="00A0534B">
        <w:t xml:space="preserve">. </w:t>
      </w:r>
    </w:p>
    <w:p w14:paraId="68888479" w14:textId="77777777" w:rsidR="00597D84" w:rsidRPr="00661B92" w:rsidRDefault="00597D84" w:rsidP="00661B92">
      <w:pPr>
        <w:jc w:val="both"/>
        <w:rPr>
          <w:rFonts w:eastAsia="Calibri" w:cs="Times New Roman"/>
        </w:rPr>
      </w:pPr>
    </w:p>
    <w:p w14:paraId="6857CB03" w14:textId="1216CD95" w:rsidR="00597D84" w:rsidRDefault="00597D84" w:rsidP="00661B92">
      <w:pPr>
        <w:pStyle w:val="Akapitzlist"/>
        <w:jc w:val="both"/>
        <w:rPr>
          <w:rFonts w:eastAsia="Calibri" w:cs="Times New Roman"/>
        </w:rPr>
      </w:pPr>
    </w:p>
    <w:p w14:paraId="0D085B3D" w14:textId="16B04AD2" w:rsidR="003D0699" w:rsidRPr="003D0699" w:rsidRDefault="003D0699" w:rsidP="003D0699">
      <w:pPr>
        <w:pStyle w:val="Akapitzlist"/>
        <w:numPr>
          <w:ilvl w:val="0"/>
          <w:numId w:val="4"/>
        </w:numPr>
        <w:jc w:val="both"/>
        <w:rPr>
          <w:rFonts w:eastAsia="Calibri" w:cs="Times New Roman"/>
        </w:rPr>
      </w:pPr>
      <w:r w:rsidRPr="003D0699">
        <w:rPr>
          <w:rFonts w:eastAsia="Calibri" w:cs="Times New Roman"/>
        </w:rPr>
        <w:t>Kryteria oceny</w:t>
      </w:r>
      <w:r>
        <w:rPr>
          <w:rFonts w:eastAsia="Calibri" w:cs="Times New Roman"/>
        </w:rPr>
        <w:t xml:space="preserve"> ofert</w:t>
      </w:r>
      <w:r w:rsidRPr="003D0699">
        <w:rPr>
          <w:rFonts w:eastAsia="Calibri" w:cs="Times New Roman"/>
        </w:rPr>
        <w:t>:</w:t>
      </w:r>
    </w:p>
    <w:p w14:paraId="14A0F77F" w14:textId="77777777" w:rsidR="003D0699" w:rsidRPr="003D0699" w:rsidRDefault="003D0699" w:rsidP="003D0699">
      <w:pPr>
        <w:jc w:val="both"/>
        <w:rPr>
          <w:rFonts w:eastAsia="Calibri" w:cs="Times New Roman"/>
        </w:rPr>
      </w:pPr>
      <w:r w:rsidRPr="003D0699">
        <w:rPr>
          <w:rFonts w:eastAsia="Calibri" w:cs="Times New Roman"/>
        </w:rPr>
        <w:t>a.70% - doświadczenie Wykonawcy</w:t>
      </w:r>
    </w:p>
    <w:p w14:paraId="7E438FC9" w14:textId="77777777" w:rsidR="003D0699" w:rsidRPr="003D0699" w:rsidRDefault="003D0699" w:rsidP="003D0699">
      <w:pPr>
        <w:pStyle w:val="Akapitzlist"/>
        <w:numPr>
          <w:ilvl w:val="0"/>
          <w:numId w:val="5"/>
        </w:numPr>
        <w:ind w:left="360"/>
        <w:jc w:val="both"/>
        <w:rPr>
          <w:rFonts w:ascii="Arial" w:hAnsi="Arial" w:cs="Arial"/>
          <w:color w:val="222222"/>
        </w:rPr>
      </w:pPr>
      <w:r w:rsidRPr="003D0699">
        <w:rPr>
          <w:rFonts w:ascii="Arial" w:hAnsi="Arial" w:cs="Arial"/>
          <w:i/>
          <w:iCs/>
          <w:color w:val="222222"/>
          <w:shd w:val="clear" w:color="auto" w:fill="FFFFFF"/>
        </w:rPr>
        <w:t>Udział w roli eksperta merytorycznego w projektach badawczych z zakresu polityki społecznej z uwzględnieniem analiz ilościowych i jakościowych (do 30 punktów)</w:t>
      </w:r>
      <w:r w:rsidRPr="003D0699">
        <w:rPr>
          <w:rFonts w:ascii="Arial" w:hAnsi="Arial" w:cs="Arial"/>
          <w:i/>
          <w:iCs/>
          <w:color w:val="222222"/>
          <w:shd w:val="clear" w:color="auto" w:fill="FFFFFF"/>
        </w:rPr>
        <w:br/>
      </w:r>
      <w:r w:rsidRPr="003D0699">
        <w:rPr>
          <w:rFonts w:ascii="Arial" w:hAnsi="Arial" w:cs="Arial"/>
          <w:i/>
          <w:iCs/>
          <w:color w:val="222222"/>
          <w:shd w:val="clear" w:color="auto" w:fill="FFFFFF"/>
        </w:rPr>
        <w:br/>
        <w:t>Publikacje naukowe (artykuły naukowe lub publikacje książkowe z ISBN) – w zakresie sektora pozarządowego i/lub ekonomii społecznej oraz ubóstwa (do 30 punktów)</w:t>
      </w:r>
    </w:p>
    <w:p w14:paraId="00F00B42" w14:textId="77777777" w:rsidR="003D0699" w:rsidRPr="003D0699" w:rsidRDefault="003D0699" w:rsidP="003D0699">
      <w:pPr>
        <w:pStyle w:val="Akapitzlist"/>
        <w:ind w:left="0"/>
        <w:jc w:val="both"/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13EC928F" w14:textId="77777777" w:rsidR="003D0699" w:rsidRPr="003D0699" w:rsidRDefault="003D0699" w:rsidP="003D0699">
      <w:pPr>
        <w:pStyle w:val="Akapitzlist"/>
        <w:numPr>
          <w:ilvl w:val="0"/>
          <w:numId w:val="5"/>
        </w:numPr>
        <w:ind w:left="360"/>
        <w:jc w:val="both"/>
        <w:rPr>
          <w:rFonts w:eastAsia="Calibri" w:cs="Times New Roman"/>
        </w:rPr>
      </w:pPr>
      <w:r w:rsidRPr="003D0699">
        <w:rPr>
          <w:rFonts w:ascii="Arial" w:hAnsi="Arial" w:cs="Arial"/>
          <w:i/>
          <w:iCs/>
          <w:color w:val="222222"/>
          <w:shd w:val="clear" w:color="auto" w:fill="FFFFFF"/>
        </w:rPr>
        <w:t>Stopień naukowy doktora w dziedzinie nauk społecznych (10 punktów)</w:t>
      </w:r>
    </w:p>
    <w:p w14:paraId="75BF3889" w14:textId="257C8E13" w:rsidR="003D0699" w:rsidRPr="003D0699" w:rsidRDefault="003D0699" w:rsidP="003D0699">
      <w:pPr>
        <w:ind w:left="705" w:hanging="705"/>
        <w:jc w:val="both"/>
        <w:rPr>
          <w:rFonts w:eastAsia="Calibri" w:cs="Times New Roman"/>
        </w:rPr>
      </w:pPr>
      <w:r w:rsidRPr="003D0699">
        <w:rPr>
          <w:rFonts w:eastAsia="Calibri" w:cs="Times New Roman"/>
        </w:rPr>
        <w:t>b. 30% - cena</w:t>
      </w:r>
    </w:p>
    <w:p w14:paraId="43E8DB24" w14:textId="77777777" w:rsidR="003D0699" w:rsidRPr="003D0699" w:rsidRDefault="003D0699" w:rsidP="003D0699">
      <w:pPr>
        <w:ind w:left="705" w:hanging="705"/>
        <w:rPr>
          <w:rFonts w:cs="Times New Roman"/>
          <w:color w:val="538135" w:themeColor="accent6" w:themeShade="BF"/>
        </w:rPr>
      </w:pPr>
    </w:p>
    <w:p w14:paraId="572BBD95" w14:textId="77777777" w:rsidR="003D0699" w:rsidRPr="003D0699" w:rsidRDefault="003D0699" w:rsidP="003D0699">
      <w:pPr>
        <w:ind w:left="705" w:hanging="705"/>
        <w:rPr>
          <w:rFonts w:cs="Times New Roman"/>
          <w:color w:val="000000" w:themeColor="text1"/>
        </w:rPr>
      </w:pPr>
      <w:r w:rsidRPr="003D0699">
        <w:rPr>
          <w:rFonts w:cs="Times New Roman"/>
          <w:color w:val="000000" w:themeColor="text1"/>
        </w:rPr>
        <w:t>Ważne:</w:t>
      </w:r>
    </w:p>
    <w:p w14:paraId="7CC6A321" w14:textId="77777777" w:rsidR="003D0699" w:rsidRPr="003D0699" w:rsidRDefault="003D0699" w:rsidP="008876B0">
      <w:pPr>
        <w:pStyle w:val="Akapitzlist"/>
        <w:numPr>
          <w:ilvl w:val="0"/>
          <w:numId w:val="6"/>
        </w:numPr>
      </w:pPr>
      <w:r w:rsidRPr="003D0699">
        <w:rPr>
          <w:rFonts w:cs="Times New Roman"/>
          <w:color w:val="000000" w:themeColor="text1"/>
        </w:rPr>
        <w:t>Zamówienie jest realizowane w dwóch następ</w:t>
      </w:r>
      <w:r w:rsidRPr="003D0699">
        <w:rPr>
          <w:rFonts w:cs="Times New Roman"/>
          <w:color w:val="000000" w:themeColor="text1"/>
        </w:rPr>
        <w:t>ujących po sobie częściach. Z</w:t>
      </w:r>
      <w:r w:rsidRPr="003D0699">
        <w:rPr>
          <w:rFonts w:cs="Times New Roman"/>
          <w:color w:val="000000" w:themeColor="text1"/>
        </w:rPr>
        <w:t xml:space="preserve">amawiający nie dopuszcza ofert częściowych ze względu na ich połączenie merytoryczne. </w:t>
      </w:r>
    </w:p>
    <w:p w14:paraId="1261464F" w14:textId="3D7734F2" w:rsidR="003D0699" w:rsidRDefault="003D0699" w:rsidP="008876B0">
      <w:pPr>
        <w:pStyle w:val="Akapitzlist"/>
        <w:numPr>
          <w:ilvl w:val="0"/>
          <w:numId w:val="6"/>
        </w:numPr>
      </w:pPr>
      <w:r w:rsidRPr="003D0699">
        <w:t xml:space="preserve">Płatność za Część I </w:t>
      </w:r>
      <w:r>
        <w:t xml:space="preserve">nastąpi </w:t>
      </w:r>
      <w:r w:rsidRPr="003D0699">
        <w:t xml:space="preserve">w 2018r., płatność za część II </w:t>
      </w:r>
      <w:r>
        <w:t xml:space="preserve">nastąpi </w:t>
      </w:r>
      <w:bookmarkStart w:id="7" w:name="_GoBack"/>
      <w:bookmarkEnd w:id="7"/>
      <w:r w:rsidRPr="003D0699">
        <w:t>w 2019r.</w:t>
      </w:r>
    </w:p>
    <w:p w14:paraId="38D30151" w14:textId="77777777" w:rsidR="003D0699" w:rsidRDefault="003D0699" w:rsidP="003D0699"/>
    <w:p w14:paraId="11E6583F" w14:textId="77777777" w:rsidR="003D0699" w:rsidRPr="00A0534B" w:rsidRDefault="003D0699" w:rsidP="003D0699">
      <w:pPr>
        <w:jc w:val="both"/>
      </w:pPr>
      <w:bookmarkStart w:id="8" w:name="_Hlk481472671"/>
    </w:p>
    <w:p w14:paraId="4CD417DE" w14:textId="77777777" w:rsidR="003D0699" w:rsidRPr="00E568B4" w:rsidRDefault="003D0699" w:rsidP="003D0699">
      <w:pPr>
        <w:ind w:left="705" w:hanging="705"/>
        <w:jc w:val="both"/>
        <w:rPr>
          <w:rFonts w:cs="Times New Roman"/>
          <w:color w:val="538135" w:themeColor="accent6" w:themeShade="BF"/>
        </w:rPr>
      </w:pPr>
    </w:p>
    <w:bookmarkEnd w:id="8"/>
    <w:p w14:paraId="31BE032F" w14:textId="77777777" w:rsidR="003A2F32" w:rsidRDefault="003A2F32"/>
    <w:sectPr w:rsidR="003A2F32" w:rsidSect="003E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41A2"/>
    <w:multiLevelType w:val="hybridMultilevel"/>
    <w:tmpl w:val="920E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00BF"/>
    <w:multiLevelType w:val="hybridMultilevel"/>
    <w:tmpl w:val="7E3C4E18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30BD0ADA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78017D2"/>
    <w:multiLevelType w:val="hybridMultilevel"/>
    <w:tmpl w:val="FE4423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E506F"/>
    <w:multiLevelType w:val="hybridMultilevel"/>
    <w:tmpl w:val="4CB89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D4BCC"/>
    <w:multiLevelType w:val="hybridMultilevel"/>
    <w:tmpl w:val="1980B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0"/>
    <w:rsid w:val="00043027"/>
    <w:rsid w:val="00066DF2"/>
    <w:rsid w:val="000F700A"/>
    <w:rsid w:val="00102366"/>
    <w:rsid w:val="001348D8"/>
    <w:rsid w:val="00150327"/>
    <w:rsid w:val="00174CAA"/>
    <w:rsid w:val="001F3735"/>
    <w:rsid w:val="002166D7"/>
    <w:rsid w:val="00235A93"/>
    <w:rsid w:val="00282F71"/>
    <w:rsid w:val="002C3230"/>
    <w:rsid w:val="00330D24"/>
    <w:rsid w:val="00345ABB"/>
    <w:rsid w:val="0038390E"/>
    <w:rsid w:val="003A2F32"/>
    <w:rsid w:val="003D0699"/>
    <w:rsid w:val="003E68EF"/>
    <w:rsid w:val="00433EB5"/>
    <w:rsid w:val="00467E8A"/>
    <w:rsid w:val="00485640"/>
    <w:rsid w:val="004C7B04"/>
    <w:rsid w:val="004D7419"/>
    <w:rsid w:val="0050712F"/>
    <w:rsid w:val="00522147"/>
    <w:rsid w:val="00563935"/>
    <w:rsid w:val="00570B93"/>
    <w:rsid w:val="00591E72"/>
    <w:rsid w:val="00597D84"/>
    <w:rsid w:val="00616DAE"/>
    <w:rsid w:val="00623380"/>
    <w:rsid w:val="00661B92"/>
    <w:rsid w:val="006634FC"/>
    <w:rsid w:val="006A05C6"/>
    <w:rsid w:val="0070742C"/>
    <w:rsid w:val="00773E30"/>
    <w:rsid w:val="007755A8"/>
    <w:rsid w:val="00782240"/>
    <w:rsid w:val="007E1F7E"/>
    <w:rsid w:val="0081708C"/>
    <w:rsid w:val="008326F7"/>
    <w:rsid w:val="00913775"/>
    <w:rsid w:val="009C30DC"/>
    <w:rsid w:val="00AA46B3"/>
    <w:rsid w:val="00AF67ED"/>
    <w:rsid w:val="00B52B5F"/>
    <w:rsid w:val="00B65939"/>
    <w:rsid w:val="00C1003A"/>
    <w:rsid w:val="00C139EE"/>
    <w:rsid w:val="00C36E7F"/>
    <w:rsid w:val="00C77BB1"/>
    <w:rsid w:val="00CD2032"/>
    <w:rsid w:val="00CE6316"/>
    <w:rsid w:val="00D10CE9"/>
    <w:rsid w:val="00D53598"/>
    <w:rsid w:val="00D91B10"/>
    <w:rsid w:val="00E2797F"/>
    <w:rsid w:val="00E636F5"/>
    <w:rsid w:val="00EA2959"/>
    <w:rsid w:val="00F822C8"/>
    <w:rsid w:val="00F9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0F8C"/>
  <w15:docId w15:val="{6C102CEA-A653-4D19-8EF3-CBB2A98F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73E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3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E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E30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773E30"/>
  </w:style>
  <w:style w:type="paragraph" w:styleId="Tekstdymka">
    <w:name w:val="Balloon Text"/>
    <w:basedOn w:val="Normalny"/>
    <w:link w:val="TekstdymkaZnak"/>
    <w:uiPriority w:val="99"/>
    <w:semiHidden/>
    <w:unhideWhenUsed/>
    <w:rsid w:val="0077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E3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6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2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7B91-E4E5-4B76-ABB0-43982EC8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1588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Grabowska</dc:creator>
  <cp:lastModifiedBy>Joanna Abramowicz</cp:lastModifiedBy>
  <cp:revision>2</cp:revision>
  <dcterms:created xsi:type="dcterms:W3CDTF">2018-10-17T12:42:00Z</dcterms:created>
  <dcterms:modified xsi:type="dcterms:W3CDTF">2018-10-17T12:42:00Z</dcterms:modified>
</cp:coreProperties>
</file>